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9AE" w:rsidRPr="009456F5" w:rsidRDefault="009456F5" w:rsidP="009456F5">
      <w:pPr>
        <w:jc w:val="both"/>
        <w:rPr>
          <w:rFonts w:ascii="Book Antiqua" w:hAnsi="Book Antiqua"/>
          <w:b/>
          <w:bCs/>
          <w:szCs w:val="22"/>
        </w:rPr>
      </w:pPr>
      <w:r w:rsidRPr="007F3CD4">
        <w:rPr>
          <w:rFonts w:ascii="Book Antiqua" w:hAnsi="Book Antiqua" w:cs="72"/>
          <w:b/>
          <w:bCs/>
          <w:szCs w:val="22"/>
        </w:rPr>
        <w:t>Amendment No–0</w:t>
      </w:r>
      <w:r>
        <w:rPr>
          <w:rFonts w:ascii="Book Antiqua" w:hAnsi="Book Antiqua" w:cs="72"/>
          <w:b/>
          <w:bCs/>
          <w:szCs w:val="22"/>
        </w:rPr>
        <w:t>2</w:t>
      </w:r>
      <w:r w:rsidRPr="007F3CD4">
        <w:rPr>
          <w:rFonts w:ascii="Book Antiqua" w:hAnsi="Book Antiqua" w:cs="72"/>
          <w:b/>
          <w:bCs/>
          <w:szCs w:val="22"/>
        </w:rPr>
        <w:t xml:space="preserve"> to the bidding documents for </w:t>
      </w:r>
      <w:bookmarkStart w:id="0" w:name="_Hlk120003552"/>
      <w:bookmarkStart w:id="1" w:name="_Hlk120524134"/>
      <w:r w:rsidRPr="00714F46">
        <w:rPr>
          <w:rFonts w:ascii="Book Antiqua" w:hAnsi="Book Antiqua"/>
          <w:b/>
          <w:bCs/>
          <w:color w:val="000000"/>
          <w:szCs w:val="22"/>
        </w:rPr>
        <w:t>Substation Package SS98</w:t>
      </w:r>
      <w:r w:rsidRPr="00DF40FB">
        <w:rPr>
          <w:rFonts w:ascii="Book Antiqua" w:hAnsi="Book Antiqua"/>
          <w:color w:val="000000"/>
          <w:szCs w:val="22"/>
        </w:rPr>
        <w:t xml:space="preserve"> for (</w:t>
      </w:r>
      <w:proofErr w:type="spellStart"/>
      <w:r w:rsidRPr="00DF40FB">
        <w:rPr>
          <w:rFonts w:ascii="Book Antiqua" w:hAnsi="Book Antiqua"/>
          <w:color w:val="000000"/>
          <w:szCs w:val="22"/>
        </w:rPr>
        <w:t>i</w:t>
      </w:r>
      <w:proofErr w:type="spellEnd"/>
      <w:r w:rsidRPr="00DF40FB">
        <w:rPr>
          <w:rFonts w:ascii="Book Antiqua" w:hAnsi="Book Antiqua"/>
          <w:color w:val="000000"/>
          <w:szCs w:val="22"/>
        </w:rPr>
        <w:t xml:space="preserve">) Construction of New 220/33 kV GIS </w:t>
      </w:r>
      <w:r>
        <w:rPr>
          <w:rFonts w:ascii="Book Antiqua" w:hAnsi="Book Antiqua"/>
          <w:color w:val="000000"/>
          <w:szCs w:val="22"/>
        </w:rPr>
        <w:t xml:space="preserve">(New) </w:t>
      </w:r>
      <w:r w:rsidRPr="00DF40FB">
        <w:rPr>
          <w:rFonts w:ascii="Book Antiqua" w:hAnsi="Book Antiqua"/>
          <w:color w:val="000000"/>
          <w:szCs w:val="22"/>
        </w:rPr>
        <w:t xml:space="preserve">Substation at </w:t>
      </w:r>
      <w:proofErr w:type="spellStart"/>
      <w:r w:rsidRPr="00DF40FB">
        <w:rPr>
          <w:rFonts w:ascii="Book Antiqua" w:hAnsi="Book Antiqua"/>
          <w:color w:val="000000"/>
          <w:szCs w:val="22"/>
        </w:rPr>
        <w:t>Nilgrar</w:t>
      </w:r>
      <w:proofErr w:type="spellEnd"/>
      <w:r w:rsidRPr="00DF40FB">
        <w:rPr>
          <w:rFonts w:ascii="Book Antiqua" w:hAnsi="Book Antiqua"/>
          <w:color w:val="000000"/>
          <w:szCs w:val="22"/>
        </w:rPr>
        <w:t xml:space="preserve"> including 2 nos. of 25MVA, 220/33kV, 3-ph ICT &amp; 33kV Switchgears, (ii) LILO of one </w:t>
      </w:r>
      <w:proofErr w:type="spellStart"/>
      <w:r w:rsidRPr="00DF40FB">
        <w:rPr>
          <w:rFonts w:ascii="Book Antiqua" w:hAnsi="Book Antiqua"/>
          <w:color w:val="000000"/>
          <w:szCs w:val="22"/>
        </w:rPr>
        <w:t>ckt</w:t>
      </w:r>
      <w:proofErr w:type="spellEnd"/>
      <w:r w:rsidRPr="00DF40FB">
        <w:rPr>
          <w:rFonts w:ascii="Book Antiqua" w:hAnsi="Book Antiqua"/>
          <w:color w:val="000000"/>
          <w:szCs w:val="22"/>
        </w:rPr>
        <w:t xml:space="preserve"> of </w:t>
      </w:r>
      <w:proofErr w:type="spellStart"/>
      <w:r w:rsidRPr="00DF40FB">
        <w:rPr>
          <w:rFonts w:ascii="Book Antiqua" w:hAnsi="Book Antiqua"/>
          <w:color w:val="000000"/>
          <w:szCs w:val="22"/>
        </w:rPr>
        <w:t>Alusteng</w:t>
      </w:r>
      <w:proofErr w:type="spellEnd"/>
      <w:r w:rsidRPr="00DF40FB">
        <w:rPr>
          <w:rFonts w:ascii="Book Antiqua" w:hAnsi="Book Antiqua"/>
          <w:color w:val="000000"/>
          <w:szCs w:val="22"/>
        </w:rPr>
        <w:t xml:space="preserve"> – </w:t>
      </w:r>
      <w:proofErr w:type="spellStart"/>
      <w:r w:rsidRPr="00DF40FB">
        <w:rPr>
          <w:rFonts w:ascii="Book Antiqua" w:hAnsi="Book Antiqua"/>
          <w:color w:val="000000"/>
          <w:szCs w:val="22"/>
        </w:rPr>
        <w:t>Leh</w:t>
      </w:r>
      <w:proofErr w:type="spellEnd"/>
      <w:r w:rsidRPr="00DF40FB">
        <w:rPr>
          <w:rFonts w:ascii="Book Antiqua" w:hAnsi="Book Antiqua"/>
          <w:color w:val="000000"/>
          <w:szCs w:val="22"/>
        </w:rPr>
        <w:t xml:space="preserve"> 220KV S/c line on D/c towers at </w:t>
      </w:r>
      <w:proofErr w:type="spellStart"/>
      <w:r w:rsidRPr="00DF40FB">
        <w:rPr>
          <w:rFonts w:ascii="Book Antiqua" w:hAnsi="Book Antiqua"/>
          <w:color w:val="000000"/>
          <w:szCs w:val="22"/>
        </w:rPr>
        <w:t>Nilgrar</w:t>
      </w:r>
      <w:proofErr w:type="spellEnd"/>
      <w:r w:rsidRPr="00DF40FB">
        <w:rPr>
          <w:rFonts w:ascii="Book Antiqua" w:hAnsi="Book Antiqua"/>
          <w:color w:val="000000"/>
          <w:szCs w:val="22"/>
        </w:rPr>
        <w:t xml:space="preserve"> and (iii) </w:t>
      </w:r>
      <w:r w:rsidRPr="00DF40FB">
        <w:rPr>
          <w:rFonts w:ascii="Book Antiqua" w:hAnsi="Book Antiqua"/>
          <w:szCs w:val="22"/>
        </w:rPr>
        <w:t xml:space="preserve">Laying of 33 KV lines (consists of Overhead line (OH) and 33 kV Underground cable (UG)) </w:t>
      </w:r>
      <w:r w:rsidRPr="00DF40FB">
        <w:rPr>
          <w:rFonts w:ascii="Book Antiqua" w:hAnsi="Book Antiqua"/>
          <w:color w:val="000000"/>
          <w:szCs w:val="22"/>
        </w:rPr>
        <w:t xml:space="preserve">under Western </w:t>
      </w:r>
      <w:proofErr w:type="spellStart"/>
      <w:r w:rsidRPr="00DF40FB">
        <w:rPr>
          <w:rFonts w:ascii="Book Antiqua" w:hAnsi="Book Antiqua"/>
          <w:color w:val="000000"/>
          <w:szCs w:val="22"/>
        </w:rPr>
        <w:t>Zojila</w:t>
      </w:r>
      <w:proofErr w:type="spellEnd"/>
      <w:r w:rsidRPr="00DF40FB">
        <w:rPr>
          <w:rFonts w:ascii="Book Antiqua" w:hAnsi="Book Antiqua"/>
          <w:color w:val="000000"/>
          <w:szCs w:val="22"/>
        </w:rPr>
        <w:t xml:space="preserve"> Consultancy Work to M/s. NHIDCL</w:t>
      </w:r>
      <w:bookmarkEnd w:id="0"/>
      <w:bookmarkEnd w:id="1"/>
      <w:r w:rsidRPr="007F3CD4">
        <w:rPr>
          <w:rFonts w:ascii="Book Antiqua" w:hAnsi="Book Antiqua"/>
          <w:szCs w:val="22"/>
        </w:rPr>
        <w:t>;</w:t>
      </w:r>
      <w:r>
        <w:rPr>
          <w:rFonts w:ascii="Book Antiqua" w:hAnsi="Book Antiqua"/>
          <w:szCs w:val="22"/>
        </w:rPr>
        <w:t xml:space="preserve"> </w:t>
      </w:r>
      <w:r w:rsidRPr="007F3CD4">
        <w:rPr>
          <w:rFonts w:ascii="Book Antiqua" w:hAnsi="Book Antiqua"/>
          <w:b/>
          <w:bCs/>
          <w:szCs w:val="22"/>
        </w:rPr>
        <w:t>Spec. No.:</w:t>
      </w:r>
      <w:r w:rsidRPr="007F3CD4">
        <w:rPr>
          <w:b/>
          <w:bCs/>
          <w:szCs w:val="22"/>
        </w:rPr>
        <w:t> </w:t>
      </w:r>
      <w:r w:rsidRPr="00EB35FF">
        <w:rPr>
          <w:rFonts w:ascii="Book Antiqua" w:hAnsi="Book Antiqua"/>
          <w:b/>
          <w:bCs/>
          <w:szCs w:val="22"/>
        </w:rPr>
        <w:t>CC/NT/GIS/DOM/A04/22/00408</w:t>
      </w:r>
    </w:p>
    <w:tbl>
      <w:tblPr>
        <w:tblW w:w="12757" w:type="dxa"/>
        <w:tblInd w:w="198" w:type="dxa"/>
        <w:tblLayout w:type="fixed"/>
        <w:tblLook w:val="04A0" w:firstRow="1" w:lastRow="0" w:firstColumn="1" w:lastColumn="0" w:noHBand="0" w:noVBand="1"/>
      </w:tblPr>
      <w:tblGrid>
        <w:gridCol w:w="960"/>
        <w:gridCol w:w="1897"/>
        <w:gridCol w:w="5850"/>
        <w:gridCol w:w="4050"/>
      </w:tblGrid>
      <w:tr w:rsidR="009456F5" w:rsidRPr="009456F5" w:rsidTr="009456F5">
        <w:trPr>
          <w:trHeight w:val="422"/>
        </w:trPr>
        <w:tc>
          <w:tcPr>
            <w:tcW w:w="12757" w:type="dxa"/>
            <w:gridSpan w:val="4"/>
            <w:tcBorders>
              <w:top w:val="single" w:sz="4" w:space="0" w:color="auto"/>
              <w:left w:val="single" w:sz="4" w:space="0" w:color="auto"/>
              <w:bottom w:val="single" w:sz="4" w:space="0" w:color="auto"/>
              <w:right w:val="single" w:sz="4" w:space="0" w:color="auto"/>
            </w:tcBorders>
            <w:shd w:val="clear" w:color="auto" w:fill="auto"/>
          </w:tcPr>
          <w:p w:rsidR="009456F5" w:rsidRPr="009456F5" w:rsidRDefault="009456F5" w:rsidP="009456F5">
            <w:pPr>
              <w:spacing w:before="120" w:after="120"/>
              <w:rPr>
                <w:rFonts w:ascii="Book Antiqua" w:hAnsi="Book Antiqua" w:cs="Arial"/>
                <w:b/>
                <w:bCs/>
                <w:color w:val="000000"/>
                <w:szCs w:val="22"/>
              </w:rPr>
            </w:pPr>
            <w:r w:rsidRPr="00E93569">
              <w:rPr>
                <w:rFonts w:ascii="Book Antiqua" w:hAnsi="Book Antiqua" w:cs="72"/>
                <w:b/>
                <w:bCs/>
                <w:szCs w:val="22"/>
              </w:rPr>
              <w:t xml:space="preserve">Volume-II: </w:t>
            </w:r>
            <w:r w:rsidRPr="00E93569">
              <w:rPr>
                <w:rFonts w:ascii="Book Antiqua" w:hAnsi="Book Antiqua" w:cs="Arial"/>
                <w:b/>
                <w:szCs w:val="22"/>
              </w:rPr>
              <w:t>Technical Specifications</w:t>
            </w:r>
          </w:p>
        </w:tc>
      </w:tr>
      <w:tr w:rsidR="009456F5" w:rsidRPr="009456F5" w:rsidTr="006A3DED">
        <w:trPr>
          <w:trHeight w:val="449"/>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9456F5" w:rsidRPr="00AB0577" w:rsidRDefault="009456F5" w:rsidP="009456F5">
            <w:pPr>
              <w:ind w:right="-108"/>
              <w:jc w:val="center"/>
              <w:rPr>
                <w:rFonts w:ascii="Book Antiqua" w:hAnsi="Book Antiqua"/>
                <w:b/>
                <w:bCs/>
                <w:szCs w:val="22"/>
              </w:rPr>
            </w:pPr>
            <w:r w:rsidRPr="00AB0577">
              <w:rPr>
                <w:rFonts w:ascii="Book Antiqua" w:hAnsi="Book Antiqua"/>
                <w:b/>
                <w:bCs/>
                <w:szCs w:val="22"/>
              </w:rPr>
              <w:t>S N</w:t>
            </w:r>
          </w:p>
        </w:tc>
        <w:tc>
          <w:tcPr>
            <w:tcW w:w="1897" w:type="dxa"/>
            <w:tcBorders>
              <w:top w:val="single" w:sz="4" w:space="0" w:color="auto"/>
              <w:left w:val="nil"/>
              <w:bottom w:val="single" w:sz="4" w:space="0" w:color="auto"/>
              <w:right w:val="single" w:sz="4" w:space="0" w:color="auto"/>
            </w:tcBorders>
            <w:shd w:val="clear" w:color="auto" w:fill="auto"/>
            <w:hideMark/>
          </w:tcPr>
          <w:p w:rsidR="009456F5" w:rsidRPr="00AB0577" w:rsidRDefault="009456F5" w:rsidP="009456F5">
            <w:pPr>
              <w:jc w:val="center"/>
              <w:rPr>
                <w:rFonts w:ascii="Book Antiqua" w:hAnsi="Book Antiqua"/>
                <w:b/>
                <w:bCs/>
                <w:szCs w:val="22"/>
              </w:rPr>
            </w:pPr>
            <w:r w:rsidRPr="00AB0577">
              <w:rPr>
                <w:rFonts w:ascii="Book Antiqua" w:hAnsi="Book Antiqua"/>
                <w:b/>
                <w:bCs/>
                <w:szCs w:val="22"/>
              </w:rPr>
              <w:t>Clause No.</w:t>
            </w:r>
          </w:p>
        </w:tc>
        <w:tc>
          <w:tcPr>
            <w:tcW w:w="5850" w:type="dxa"/>
            <w:tcBorders>
              <w:top w:val="single" w:sz="4" w:space="0" w:color="auto"/>
              <w:left w:val="nil"/>
              <w:bottom w:val="single" w:sz="4" w:space="0" w:color="auto"/>
              <w:right w:val="single" w:sz="4" w:space="0" w:color="auto"/>
            </w:tcBorders>
            <w:shd w:val="clear" w:color="auto" w:fill="auto"/>
            <w:hideMark/>
          </w:tcPr>
          <w:p w:rsidR="009456F5" w:rsidRPr="00AB0577" w:rsidRDefault="009456F5" w:rsidP="009456F5">
            <w:pPr>
              <w:jc w:val="center"/>
              <w:rPr>
                <w:rFonts w:ascii="Book Antiqua" w:hAnsi="Book Antiqua"/>
                <w:b/>
                <w:bCs/>
                <w:szCs w:val="22"/>
              </w:rPr>
            </w:pPr>
            <w:r w:rsidRPr="00AB0577">
              <w:rPr>
                <w:rFonts w:ascii="Book Antiqua" w:hAnsi="Book Antiqua"/>
                <w:b/>
                <w:bCs/>
                <w:szCs w:val="22"/>
              </w:rPr>
              <w:t>Existing Clause/item</w:t>
            </w:r>
          </w:p>
        </w:tc>
        <w:tc>
          <w:tcPr>
            <w:tcW w:w="4050" w:type="dxa"/>
            <w:tcBorders>
              <w:top w:val="single" w:sz="4" w:space="0" w:color="auto"/>
              <w:left w:val="nil"/>
              <w:bottom w:val="single" w:sz="4" w:space="0" w:color="auto"/>
              <w:right w:val="single" w:sz="4" w:space="0" w:color="auto"/>
            </w:tcBorders>
            <w:shd w:val="clear" w:color="auto" w:fill="auto"/>
            <w:hideMark/>
          </w:tcPr>
          <w:p w:rsidR="009456F5" w:rsidRPr="00AB0577" w:rsidRDefault="009456F5" w:rsidP="009456F5">
            <w:pPr>
              <w:jc w:val="center"/>
              <w:rPr>
                <w:rFonts w:ascii="Book Antiqua" w:hAnsi="Book Antiqua"/>
                <w:b/>
                <w:bCs/>
                <w:szCs w:val="22"/>
              </w:rPr>
            </w:pPr>
            <w:r w:rsidRPr="00AB0577">
              <w:rPr>
                <w:rFonts w:ascii="Book Antiqua" w:hAnsi="Book Antiqua"/>
                <w:b/>
                <w:bCs/>
                <w:szCs w:val="22"/>
              </w:rPr>
              <w:t>Amendment</w:t>
            </w:r>
          </w:p>
        </w:tc>
      </w:tr>
      <w:tr w:rsidR="00096FA7" w:rsidRPr="009456F5" w:rsidTr="006A3DED">
        <w:trPr>
          <w:trHeight w:val="750"/>
        </w:trPr>
        <w:tc>
          <w:tcPr>
            <w:tcW w:w="960" w:type="dxa"/>
            <w:tcBorders>
              <w:top w:val="single" w:sz="4" w:space="0" w:color="auto"/>
              <w:left w:val="single" w:sz="4" w:space="0" w:color="auto"/>
              <w:bottom w:val="single" w:sz="4" w:space="0" w:color="auto"/>
              <w:right w:val="single" w:sz="4" w:space="0" w:color="auto"/>
            </w:tcBorders>
            <w:shd w:val="clear" w:color="auto" w:fill="auto"/>
          </w:tcPr>
          <w:p w:rsidR="00096FA7" w:rsidRPr="009456F5" w:rsidRDefault="00096FA7" w:rsidP="00084685">
            <w:pPr>
              <w:spacing w:before="120" w:after="120"/>
              <w:jc w:val="center"/>
              <w:rPr>
                <w:rFonts w:ascii="Book Antiqua" w:hAnsi="Book Antiqua" w:cs="Arial"/>
                <w:b/>
                <w:bCs/>
                <w:color w:val="000000"/>
                <w:szCs w:val="22"/>
              </w:rPr>
            </w:pPr>
            <w:r w:rsidRPr="009456F5">
              <w:rPr>
                <w:rFonts w:ascii="Book Antiqua" w:hAnsi="Book Antiqua" w:cs="Arial"/>
                <w:b/>
                <w:bCs/>
                <w:color w:val="000000"/>
                <w:szCs w:val="22"/>
              </w:rPr>
              <w:t>1</w:t>
            </w:r>
          </w:p>
        </w:tc>
        <w:tc>
          <w:tcPr>
            <w:tcW w:w="1897" w:type="dxa"/>
            <w:tcBorders>
              <w:top w:val="single" w:sz="4" w:space="0" w:color="auto"/>
              <w:left w:val="nil"/>
              <w:bottom w:val="single" w:sz="4" w:space="0" w:color="auto"/>
              <w:right w:val="single" w:sz="4" w:space="0" w:color="auto"/>
            </w:tcBorders>
            <w:shd w:val="clear" w:color="auto" w:fill="auto"/>
          </w:tcPr>
          <w:p w:rsidR="00096FA7" w:rsidRPr="009456F5" w:rsidRDefault="009D22A4" w:rsidP="00084685">
            <w:pPr>
              <w:spacing w:before="120" w:after="120"/>
              <w:jc w:val="center"/>
              <w:rPr>
                <w:rFonts w:ascii="Book Antiqua" w:hAnsi="Book Antiqua" w:cs="Arial"/>
                <w:szCs w:val="22"/>
              </w:rPr>
            </w:pPr>
            <w:r w:rsidRPr="009456F5">
              <w:rPr>
                <w:rFonts w:ascii="Book Antiqua" w:hAnsi="Book Antiqua" w:cs="Arial"/>
                <w:szCs w:val="22"/>
              </w:rPr>
              <w:t>Section 1 (Introduction and General Technical Requirement)</w:t>
            </w:r>
          </w:p>
        </w:tc>
        <w:tc>
          <w:tcPr>
            <w:tcW w:w="5850" w:type="dxa"/>
            <w:tcBorders>
              <w:top w:val="single" w:sz="4" w:space="0" w:color="auto"/>
              <w:left w:val="nil"/>
              <w:bottom w:val="single" w:sz="4" w:space="0" w:color="auto"/>
              <w:right w:val="single" w:sz="4" w:space="0" w:color="auto"/>
            </w:tcBorders>
            <w:shd w:val="clear" w:color="auto" w:fill="auto"/>
          </w:tcPr>
          <w:p w:rsidR="00096FA7" w:rsidRPr="009456F5" w:rsidRDefault="00096FA7" w:rsidP="00FA2085">
            <w:pPr>
              <w:jc w:val="both"/>
              <w:textAlignment w:val="top"/>
              <w:rPr>
                <w:rFonts w:ascii="Book Antiqua" w:hAnsi="Book Antiqua" w:cs="Arial"/>
                <w:b/>
                <w:bCs/>
                <w:color w:val="000000"/>
                <w:szCs w:val="22"/>
              </w:rPr>
            </w:pPr>
          </w:p>
        </w:tc>
        <w:tc>
          <w:tcPr>
            <w:tcW w:w="4050" w:type="dxa"/>
            <w:tcBorders>
              <w:top w:val="single" w:sz="4" w:space="0" w:color="auto"/>
              <w:left w:val="nil"/>
              <w:bottom w:val="single" w:sz="4" w:space="0" w:color="auto"/>
              <w:right w:val="single" w:sz="4" w:space="0" w:color="auto"/>
            </w:tcBorders>
            <w:shd w:val="clear" w:color="auto" w:fill="auto"/>
          </w:tcPr>
          <w:p w:rsidR="00096FA7" w:rsidRPr="009456F5" w:rsidRDefault="009D22A4" w:rsidP="009D22A4">
            <w:pPr>
              <w:spacing w:before="120" w:after="120"/>
              <w:jc w:val="both"/>
              <w:rPr>
                <w:rFonts w:ascii="Book Antiqua" w:hAnsi="Book Antiqua" w:cs="Arial"/>
                <w:b/>
                <w:bCs/>
                <w:color w:val="000000"/>
                <w:szCs w:val="22"/>
              </w:rPr>
            </w:pPr>
            <w:r w:rsidRPr="009456F5">
              <w:rPr>
                <w:rFonts w:ascii="Book Antiqua" w:hAnsi="Book Antiqua" w:cs="Arial"/>
                <w:bCs/>
                <w:szCs w:val="22"/>
              </w:rPr>
              <w:t>Tentative network diagram is being enclosed as annexure-1. However, the detail survey of line shall be done by contractor during construction work.</w:t>
            </w:r>
            <w:bookmarkStart w:id="2" w:name="_GoBack"/>
            <w:bookmarkEnd w:id="2"/>
          </w:p>
        </w:tc>
      </w:tr>
      <w:tr w:rsidR="00096FA7" w:rsidRPr="009456F5" w:rsidTr="006A3DED">
        <w:trPr>
          <w:trHeight w:val="750"/>
        </w:trPr>
        <w:tc>
          <w:tcPr>
            <w:tcW w:w="960" w:type="dxa"/>
            <w:tcBorders>
              <w:top w:val="single" w:sz="4" w:space="0" w:color="auto"/>
              <w:left w:val="single" w:sz="4" w:space="0" w:color="auto"/>
              <w:bottom w:val="single" w:sz="4" w:space="0" w:color="auto"/>
              <w:right w:val="single" w:sz="4" w:space="0" w:color="auto"/>
            </w:tcBorders>
            <w:shd w:val="clear" w:color="auto" w:fill="auto"/>
          </w:tcPr>
          <w:p w:rsidR="00096FA7" w:rsidRPr="009456F5" w:rsidRDefault="00096FA7" w:rsidP="00096FA7">
            <w:pPr>
              <w:spacing w:before="120" w:after="120"/>
              <w:jc w:val="center"/>
              <w:rPr>
                <w:rFonts w:ascii="Book Antiqua" w:hAnsi="Book Antiqua" w:cs="Arial"/>
                <w:b/>
                <w:bCs/>
                <w:color w:val="000000"/>
                <w:szCs w:val="22"/>
              </w:rPr>
            </w:pPr>
            <w:r w:rsidRPr="009456F5">
              <w:rPr>
                <w:rFonts w:ascii="Book Antiqua" w:hAnsi="Book Antiqua" w:cs="Arial"/>
                <w:b/>
                <w:bCs/>
                <w:color w:val="000000"/>
                <w:szCs w:val="22"/>
              </w:rPr>
              <w:t>2</w:t>
            </w:r>
          </w:p>
        </w:tc>
        <w:tc>
          <w:tcPr>
            <w:tcW w:w="1897" w:type="dxa"/>
            <w:tcBorders>
              <w:top w:val="single" w:sz="4" w:space="0" w:color="auto"/>
              <w:left w:val="nil"/>
              <w:bottom w:val="single" w:sz="4" w:space="0" w:color="auto"/>
              <w:right w:val="single" w:sz="4" w:space="0" w:color="auto"/>
            </w:tcBorders>
            <w:shd w:val="clear" w:color="auto" w:fill="auto"/>
          </w:tcPr>
          <w:p w:rsidR="00096FA7" w:rsidRPr="009456F5" w:rsidRDefault="00096FA7" w:rsidP="00096FA7">
            <w:pPr>
              <w:spacing w:before="120" w:after="120"/>
              <w:jc w:val="center"/>
              <w:rPr>
                <w:rFonts w:ascii="Book Antiqua" w:hAnsi="Book Antiqua" w:cs="Arial"/>
                <w:b/>
                <w:bCs/>
                <w:color w:val="000000"/>
                <w:szCs w:val="22"/>
              </w:rPr>
            </w:pPr>
            <w:r w:rsidRPr="009456F5">
              <w:rPr>
                <w:rFonts w:ascii="Book Antiqua" w:hAnsi="Book Antiqua" w:cs="Arial"/>
                <w:szCs w:val="22"/>
              </w:rPr>
              <w:t>Section-III, Chapter 2 (Cable laying) Clause 15</w:t>
            </w:r>
          </w:p>
        </w:tc>
        <w:tc>
          <w:tcPr>
            <w:tcW w:w="5850" w:type="dxa"/>
            <w:tcBorders>
              <w:top w:val="single" w:sz="4" w:space="0" w:color="auto"/>
              <w:left w:val="nil"/>
              <w:bottom w:val="single" w:sz="4" w:space="0" w:color="auto"/>
              <w:right w:val="single" w:sz="4" w:space="0" w:color="auto"/>
            </w:tcBorders>
            <w:shd w:val="clear" w:color="auto" w:fill="auto"/>
          </w:tcPr>
          <w:p w:rsidR="00096FA7" w:rsidRPr="009456F5" w:rsidRDefault="00096FA7" w:rsidP="00096FA7">
            <w:pPr>
              <w:ind w:left="426"/>
              <w:jc w:val="both"/>
              <w:rPr>
                <w:rFonts w:ascii="Book Antiqua" w:hAnsi="Book Antiqua" w:cs="Arial"/>
                <w:szCs w:val="22"/>
              </w:rPr>
            </w:pPr>
            <w:r w:rsidRPr="009456F5">
              <w:rPr>
                <w:rFonts w:ascii="Book Antiqua" w:hAnsi="Book Antiqua" w:cs="Arial"/>
                <w:szCs w:val="22"/>
              </w:rPr>
              <w:t>After the cables and pipes -----------------------------------------------</w:t>
            </w:r>
          </w:p>
          <w:p w:rsidR="00096FA7" w:rsidRPr="009456F5" w:rsidRDefault="00096FA7" w:rsidP="00096FA7">
            <w:pPr>
              <w:ind w:left="426"/>
              <w:jc w:val="both"/>
              <w:rPr>
                <w:rFonts w:ascii="Book Antiqua" w:hAnsi="Book Antiqua" w:cs="Arial"/>
                <w:szCs w:val="22"/>
              </w:rPr>
            </w:pPr>
            <w:r w:rsidRPr="009456F5">
              <w:rPr>
                <w:rFonts w:ascii="Book Antiqua" w:hAnsi="Book Antiqua" w:cs="Arial"/>
                <w:szCs w:val="22"/>
              </w:rPr>
              <w:t>After the subsidence has ceased the trench may be permanently reinstated and the surface restored to the best possible condition.</w:t>
            </w:r>
          </w:p>
          <w:p w:rsidR="00096FA7" w:rsidRPr="009456F5" w:rsidRDefault="00096FA7" w:rsidP="00096FA7">
            <w:pPr>
              <w:ind w:left="426"/>
              <w:jc w:val="both"/>
              <w:rPr>
                <w:rFonts w:ascii="Book Antiqua" w:hAnsi="Book Antiqua" w:cs="Arial"/>
                <w:szCs w:val="22"/>
              </w:rPr>
            </w:pPr>
            <w:r w:rsidRPr="009456F5">
              <w:rPr>
                <w:rFonts w:ascii="Book Antiqua" w:hAnsi="Book Antiqua" w:cs="Arial"/>
                <w:szCs w:val="22"/>
              </w:rPr>
              <w:t>In case of the road surface is cement concrete, asphalt or tarred macadam, resurfacing shall be done by the civic authorities against payment of the restoration charges to be made by BSEB directly to concerned agency.</w:t>
            </w:r>
          </w:p>
          <w:p w:rsidR="00096FA7" w:rsidRPr="009456F5" w:rsidRDefault="00096FA7" w:rsidP="00096FA7">
            <w:pPr>
              <w:jc w:val="both"/>
              <w:textAlignment w:val="top"/>
              <w:rPr>
                <w:rFonts w:ascii="Book Antiqua" w:hAnsi="Book Antiqua" w:cs="Arial"/>
                <w:b/>
                <w:bCs/>
                <w:color w:val="000000"/>
                <w:szCs w:val="22"/>
              </w:rPr>
            </w:pPr>
          </w:p>
        </w:tc>
        <w:tc>
          <w:tcPr>
            <w:tcW w:w="4050" w:type="dxa"/>
            <w:tcBorders>
              <w:top w:val="single" w:sz="4" w:space="0" w:color="auto"/>
              <w:left w:val="nil"/>
              <w:bottom w:val="single" w:sz="4" w:space="0" w:color="auto"/>
              <w:right w:val="single" w:sz="4" w:space="0" w:color="auto"/>
            </w:tcBorders>
            <w:shd w:val="clear" w:color="auto" w:fill="auto"/>
          </w:tcPr>
          <w:p w:rsidR="00096FA7" w:rsidRPr="009456F5" w:rsidRDefault="00096FA7" w:rsidP="00096FA7">
            <w:pPr>
              <w:ind w:left="426"/>
              <w:jc w:val="both"/>
              <w:rPr>
                <w:rFonts w:ascii="Book Antiqua" w:hAnsi="Book Antiqua" w:cs="Arial"/>
                <w:szCs w:val="22"/>
              </w:rPr>
            </w:pPr>
            <w:r w:rsidRPr="009456F5">
              <w:rPr>
                <w:rFonts w:ascii="Book Antiqua" w:hAnsi="Book Antiqua" w:cs="Arial"/>
                <w:szCs w:val="22"/>
              </w:rPr>
              <w:t>After the cables and pipes -----------------------------------------------</w:t>
            </w:r>
          </w:p>
          <w:p w:rsidR="00096FA7" w:rsidRPr="009456F5" w:rsidRDefault="00096FA7" w:rsidP="00096FA7">
            <w:pPr>
              <w:ind w:left="426"/>
              <w:jc w:val="both"/>
              <w:rPr>
                <w:rFonts w:ascii="Book Antiqua" w:hAnsi="Book Antiqua" w:cs="Arial"/>
                <w:szCs w:val="22"/>
              </w:rPr>
            </w:pPr>
          </w:p>
          <w:p w:rsidR="00096FA7" w:rsidRPr="009456F5" w:rsidRDefault="00096FA7" w:rsidP="00096FA7">
            <w:pPr>
              <w:ind w:left="426"/>
              <w:jc w:val="both"/>
              <w:rPr>
                <w:rFonts w:ascii="Book Antiqua" w:hAnsi="Book Antiqua" w:cs="Arial"/>
                <w:szCs w:val="22"/>
              </w:rPr>
            </w:pPr>
            <w:r w:rsidRPr="009456F5">
              <w:rPr>
                <w:rFonts w:ascii="Book Antiqua" w:hAnsi="Book Antiqua" w:cs="Arial"/>
                <w:szCs w:val="22"/>
              </w:rPr>
              <w:t>After the subsidence has ceased the trench may be permanently reinstated and the surface restored to the best possible condition.</w:t>
            </w:r>
          </w:p>
          <w:p w:rsidR="00096FA7" w:rsidRPr="009456F5" w:rsidRDefault="00096FA7" w:rsidP="00096FA7">
            <w:pPr>
              <w:spacing w:before="120" w:after="120"/>
              <w:jc w:val="center"/>
              <w:rPr>
                <w:rFonts w:ascii="Book Antiqua" w:hAnsi="Book Antiqua" w:cs="Arial"/>
                <w:b/>
                <w:bCs/>
                <w:color w:val="000000"/>
                <w:szCs w:val="22"/>
              </w:rPr>
            </w:pPr>
          </w:p>
        </w:tc>
      </w:tr>
    </w:tbl>
    <w:p w:rsidR="003779AE" w:rsidRDefault="003779AE" w:rsidP="003779AE">
      <w:pPr>
        <w:pStyle w:val="Header"/>
      </w:pPr>
    </w:p>
    <w:p w:rsidR="003779AE" w:rsidRDefault="003779AE" w:rsidP="003779AE">
      <w:pPr>
        <w:jc w:val="right"/>
        <w:rPr>
          <w:rFonts w:ascii="Arial" w:hAnsi="Arial" w:cs="Arial"/>
        </w:rPr>
      </w:pPr>
    </w:p>
    <w:p w:rsidR="009456F5" w:rsidRDefault="009456F5" w:rsidP="003779AE">
      <w:pPr>
        <w:jc w:val="right"/>
        <w:rPr>
          <w:rFonts w:ascii="Arial" w:hAnsi="Arial" w:cs="Arial"/>
        </w:rPr>
      </w:pPr>
    </w:p>
    <w:p w:rsidR="009456F5" w:rsidRDefault="009456F5" w:rsidP="003779AE">
      <w:pPr>
        <w:jc w:val="right"/>
        <w:rPr>
          <w:rFonts w:ascii="Arial" w:hAnsi="Arial" w:cs="Arial"/>
        </w:rPr>
      </w:pPr>
    </w:p>
    <w:p w:rsidR="003779AE" w:rsidRDefault="009D22A4" w:rsidP="003779AE">
      <w:pPr>
        <w:jc w:val="right"/>
        <w:rPr>
          <w:rFonts w:ascii="Arial" w:hAnsi="Arial" w:cs="Arial"/>
        </w:rPr>
      </w:pPr>
      <w:r>
        <w:rPr>
          <w:rFonts w:ascii="Arial" w:hAnsi="Arial" w:cs="Arial"/>
        </w:rPr>
        <w:t>Annexure-1</w:t>
      </w:r>
    </w:p>
    <w:p w:rsidR="009D22A4" w:rsidRDefault="009D22A4" w:rsidP="003779AE">
      <w:pPr>
        <w:jc w:val="right"/>
        <w:rPr>
          <w:rFonts w:ascii="Arial" w:hAnsi="Arial" w:cs="Arial"/>
        </w:rPr>
      </w:pPr>
      <w:r>
        <w:rPr>
          <w:noProof/>
        </w:rPr>
        <w:drawing>
          <wp:inline distT="0" distB="0" distL="0" distR="0" wp14:anchorId="49AA9713" wp14:editId="1E78FC7E">
            <wp:extent cx="8229600" cy="4046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8229600" cy="4046220"/>
                    </a:xfrm>
                    <a:prstGeom prst="rect">
                      <a:avLst/>
                    </a:prstGeom>
                  </pic:spPr>
                </pic:pic>
              </a:graphicData>
            </a:graphic>
          </wp:inline>
        </w:drawing>
      </w:r>
    </w:p>
    <w:p w:rsidR="003779AE" w:rsidRDefault="003779AE" w:rsidP="003779AE">
      <w:pPr>
        <w:jc w:val="right"/>
        <w:rPr>
          <w:rFonts w:ascii="Arial" w:hAnsi="Arial" w:cs="Arial"/>
        </w:rPr>
      </w:pPr>
    </w:p>
    <w:p w:rsidR="003779AE" w:rsidRDefault="003779AE" w:rsidP="003779AE">
      <w:pPr>
        <w:jc w:val="both"/>
        <w:rPr>
          <w:rFonts w:ascii="Arial" w:hAnsi="Arial" w:cs="Arial"/>
        </w:rPr>
      </w:pPr>
    </w:p>
    <w:p w:rsidR="003779AE" w:rsidRPr="003779AE" w:rsidRDefault="003779AE" w:rsidP="003779AE">
      <w:pPr>
        <w:jc w:val="both"/>
        <w:rPr>
          <w:rFonts w:ascii="Arial" w:hAnsi="Arial" w:cs="Arial"/>
        </w:rPr>
      </w:pPr>
    </w:p>
    <w:sectPr w:rsidR="003779AE" w:rsidRPr="003779AE" w:rsidSect="008F281F">
      <w:pgSz w:w="15840" w:h="12240" w:orient="landscape"/>
      <w:pgMar w:top="10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48A84B"/>
    <w:multiLevelType w:val="singleLevel"/>
    <w:tmpl w:val="7E48A84B"/>
    <w:lvl w:ilvl="0">
      <w:start w:val="1"/>
      <w:numFmt w:val="decimal"/>
      <w:lvlText w:val="%1."/>
      <w:lvlJc w:val="left"/>
      <w:pPr>
        <w:tabs>
          <w:tab w:val="left" w:pos="425"/>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9AE"/>
    <w:rsid w:val="00096FA7"/>
    <w:rsid w:val="001C5ECF"/>
    <w:rsid w:val="0025604E"/>
    <w:rsid w:val="003779AE"/>
    <w:rsid w:val="005049E9"/>
    <w:rsid w:val="006A3DED"/>
    <w:rsid w:val="006A7298"/>
    <w:rsid w:val="00731BBE"/>
    <w:rsid w:val="008F281F"/>
    <w:rsid w:val="009456F5"/>
    <w:rsid w:val="009D22A4"/>
    <w:rsid w:val="00C01D49"/>
    <w:rsid w:val="00FA208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74E13"/>
  <w15:chartTrackingRefBased/>
  <w15:docId w15:val="{DF2E5515-A5AD-4082-831C-55935FF12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paragraph" w:styleId="Heading2">
    <w:name w:val="heading 2"/>
    <w:basedOn w:val="Normal"/>
    <w:next w:val="Normal"/>
    <w:link w:val="Heading2Char"/>
    <w:uiPriority w:val="9"/>
    <w:unhideWhenUsed/>
    <w:qFormat/>
    <w:rsid w:val="003779AE"/>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779AE"/>
    <w:rPr>
      <w:rFonts w:asciiTheme="majorHAnsi" w:eastAsiaTheme="majorEastAsia" w:hAnsiTheme="majorHAnsi" w:cstheme="majorBidi"/>
      <w:b/>
      <w:bCs/>
      <w:color w:val="4F81BD" w:themeColor="accent1"/>
      <w:sz w:val="26"/>
      <w:szCs w:val="26"/>
      <w:lang w:bidi="ar-SA"/>
    </w:rPr>
  </w:style>
  <w:style w:type="table" w:styleId="TableGrid">
    <w:name w:val="Table Grid"/>
    <w:basedOn w:val="TableNormal"/>
    <w:uiPriority w:val="59"/>
    <w:rsid w:val="003779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779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79AE"/>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219</Words>
  <Characters>1252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Pramod Kr.Vishwakarma {प्रमोद कुमार विश्‍वकर्मा}</dc:creator>
  <cp:keywords/>
  <dc:description/>
  <cp:lastModifiedBy>Ram Lal {Ram Lal}</cp:lastModifiedBy>
  <cp:revision>6</cp:revision>
  <dcterms:created xsi:type="dcterms:W3CDTF">2023-01-31T12:51:00Z</dcterms:created>
  <dcterms:modified xsi:type="dcterms:W3CDTF">2023-02-03T09:14:00Z</dcterms:modified>
</cp:coreProperties>
</file>